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83D3D" w14:textId="77777777" w:rsidR="00F452BE" w:rsidRPr="00F452BE" w:rsidRDefault="007D478B" w:rsidP="006F5ABE">
      <w:pPr>
        <w:spacing w:after="0" w:line="360" w:lineRule="auto"/>
        <w:jc w:val="center"/>
        <w:outlineLvl w:val="0"/>
        <w:rPr>
          <w:rFonts w:ascii="Times New Roman" w:eastAsia="Times New Roman" w:hAnsi="Times New Roman" w:cs="Times New Roman"/>
          <w:b/>
          <w:bCs/>
          <w:kern w:val="0"/>
          <w:sz w:val="28"/>
          <w:szCs w:val="28"/>
          <w:lang w:val="bg-BG" w:eastAsia="bg-BG"/>
          <w14:ligatures w14:val="none"/>
        </w:rPr>
      </w:pPr>
      <w:r>
        <w:rPr>
          <w:rFonts w:ascii="Times New Roman" w:eastAsia="Times New Roman" w:hAnsi="Times New Roman" w:cs="Times New Roman"/>
          <w:b/>
          <w:bCs/>
          <w:kern w:val="0"/>
          <w:sz w:val="28"/>
          <w:szCs w:val="28"/>
          <w:lang w:eastAsia="bg-BG"/>
        </w:rPr>
        <w:t>SCIENTIFIC OPINION</w:t>
      </w:r>
    </w:p>
    <w:p w14:paraId="68E22CB1" w14:textId="571C5156" w:rsidR="00F452BE" w:rsidRPr="000D5751" w:rsidRDefault="007D478B" w:rsidP="00A15766">
      <w:pPr>
        <w:spacing w:after="0" w:line="240" w:lineRule="auto"/>
        <w:jc w:val="center"/>
        <w:outlineLvl w:val="0"/>
        <w:rPr>
          <w:rFonts w:ascii="Times New Roman" w:eastAsia="Times New Roman" w:hAnsi="Times New Roman" w:cs="Times New Roman"/>
          <w:kern w:val="0"/>
          <w14:ligatures w14:val="none"/>
        </w:rPr>
      </w:pPr>
      <w:r>
        <w:rPr>
          <w:rFonts w:ascii="Times New Roman" w:eastAsia="Times New Roman" w:hAnsi="Times New Roman" w:cs="Times New Roman"/>
          <w:bCs/>
          <w:kern w:val="0"/>
        </w:rPr>
        <w:t xml:space="preserve">prepared by </w:t>
      </w:r>
      <w:r>
        <w:rPr>
          <w:rFonts w:ascii="Times New Roman" w:eastAsia="Times New Roman" w:hAnsi="Times New Roman" w:cs="Times New Roman"/>
          <w:b/>
          <w:bCs/>
          <w:kern w:val="0"/>
        </w:rPr>
        <w:t>Assoc. Prof. PhD Alexander Todorov Sarafov</w:t>
      </w:r>
      <w:r>
        <w:rPr>
          <w:rFonts w:ascii="Times New Roman" w:eastAsia="Times New Roman" w:hAnsi="Times New Roman" w:cs="Times New Roman"/>
          <w:kern w:val="0"/>
        </w:rPr>
        <w:t xml:space="preserve"> (BAS, CAWRI, Associate Member of the Water Department)</w:t>
      </w:r>
      <w:r w:rsidR="0035288B">
        <w:rPr>
          <w:rFonts w:ascii="Times New Roman" w:eastAsia="Times New Roman" w:hAnsi="Times New Roman" w:cs="Times New Roman"/>
          <w:kern w:val="0"/>
        </w:rPr>
        <w:t>,</w:t>
      </w:r>
      <w:r>
        <w:rPr>
          <w:rFonts w:ascii="Times New Roman" w:eastAsia="Times New Roman" w:hAnsi="Times New Roman" w:cs="Times New Roman"/>
          <w:kern w:val="0"/>
        </w:rPr>
        <w:t xml:space="preserve"> pursuant to the decision of the First Meeting of the Scientific Jury (15 June 2026), established by order No. RD 13-16 of 15 April 2026 of the Rector of UMG “St. Ivan Rilski”</w:t>
      </w:r>
      <w:r>
        <w:rPr>
          <w:rFonts w:ascii="Times New Roman" w:eastAsia="Times New Roman" w:hAnsi="Times New Roman" w:cs="Times New Roman"/>
          <w:color w:val="000000"/>
          <w:kern w:val="0"/>
        </w:rPr>
        <w:t>, based on Art. 4, para. (1) and (2) and Art. 25 of the Academic Staff Development in the Republic of Bulgaria Act; Art. 57, para. (2) of the Regulations for implementation of ASDRBA; and Art. 5, para. (2), (3) and (4) of the Regulations on the Appointment to Academic Positions at UMG “St. Ivan Rilski”, pursuant to the Decision of the Faculty Council of the Faculty of Geology and Exploration - GPF adopted on 8 April 2026</w:t>
      </w:r>
      <w:r>
        <w:rPr>
          <w:rFonts w:ascii="Times New Roman" w:eastAsia="Times New Roman" w:hAnsi="Times New Roman" w:cs="Times New Roman"/>
          <w:kern w:val="0"/>
        </w:rPr>
        <w:t xml:space="preserve">, a competition is hereby announced for the academic position of Associate Professor in the professional category (code 4.4). Earth Sciences, scientific subject: “Petrology,” announced in the SG, No. 33, April 3, 2026, for the Department of Hydrogeology and Engineering Geology, </w:t>
      </w:r>
      <w:r>
        <w:rPr>
          <w:rFonts w:ascii="Times New Roman" w:eastAsia="Times New Roman" w:hAnsi="Times New Roman" w:cs="Times New Roman"/>
          <w:b/>
          <w:bCs/>
          <w:kern w:val="0"/>
        </w:rPr>
        <w:t>regarding</w:t>
      </w:r>
      <w:r>
        <w:rPr>
          <w:rFonts w:ascii="Times New Roman" w:eastAsia="Times New Roman" w:hAnsi="Times New Roman" w:cs="Times New Roman"/>
          <w:kern w:val="0"/>
        </w:rPr>
        <w:t xml:space="preserve"> the sole candidate who submitted application materials - </w:t>
      </w:r>
      <w:r>
        <w:rPr>
          <w:rFonts w:ascii="Times New Roman" w:eastAsia="Times New Roman" w:hAnsi="Times New Roman" w:cs="Times New Roman"/>
          <w:b/>
          <w:bCs/>
          <w:kern w:val="0"/>
        </w:rPr>
        <w:t>Chief Assist. Prof. PhD</w:t>
      </w:r>
      <w:r>
        <w:rPr>
          <w:rFonts w:ascii="Times New Roman" w:eastAsia="Times New Roman" w:hAnsi="Times New Roman" w:cs="Times New Roman"/>
          <w:kern w:val="0"/>
        </w:rPr>
        <w:t xml:space="preserve"> </w:t>
      </w:r>
      <w:r>
        <w:rPr>
          <w:rFonts w:ascii="Times New Roman" w:eastAsia="Times New Roman" w:hAnsi="Times New Roman" w:cs="Times New Roman"/>
          <w:b/>
          <w:bCs/>
          <w:kern w:val="0"/>
        </w:rPr>
        <w:t>KAMELIA YANKOVA MARINOVA</w:t>
      </w:r>
    </w:p>
    <w:p w14:paraId="17F53F41" w14:textId="77777777" w:rsidR="00A15766" w:rsidRDefault="007D478B" w:rsidP="00F452BE">
      <w:pPr>
        <w:spacing w:after="0" w:line="360" w:lineRule="auto"/>
        <w:jc w:val="center"/>
        <w:outlineLvl w:val="0"/>
        <w:rPr>
          <w:rFonts w:ascii="Times New Roman" w:eastAsia="Times New Roman" w:hAnsi="Times New Roman" w:cs="Times New Roman"/>
          <w:kern w:val="0"/>
          <w:sz w:val="28"/>
          <w:szCs w:val="28"/>
          <w:lang w:val="bg-BG"/>
        </w:rPr>
      </w:pPr>
      <w:r>
        <w:rPr>
          <w:rFonts w:ascii="Times New Roman" w:eastAsia="Times New Roman" w:hAnsi="Times New Roman" w:cs="Times New Roman"/>
          <w:kern w:val="0"/>
          <w:sz w:val="28"/>
          <w:szCs w:val="28"/>
        </w:rPr>
        <w:t xml:space="preserve"> </w:t>
      </w:r>
    </w:p>
    <w:p w14:paraId="47D972D8" w14:textId="076A66C5" w:rsidR="00F452BE" w:rsidRPr="00F452BE" w:rsidRDefault="007D478B" w:rsidP="00F452BE">
      <w:pPr>
        <w:spacing w:after="0" w:line="360" w:lineRule="auto"/>
        <w:jc w:val="center"/>
        <w:outlineLvl w:val="0"/>
        <w:rPr>
          <w:rFonts w:ascii="Times New Roman" w:eastAsia="Times New Roman" w:hAnsi="Times New Roman" w:cs="Times New Roman"/>
          <w:kern w:val="0"/>
          <w:sz w:val="28"/>
          <w:szCs w:val="28"/>
          <w:lang w:val="bg-BG"/>
          <w14:ligatures w14:val="none"/>
        </w:rPr>
      </w:pPr>
      <w:r>
        <w:rPr>
          <w:rFonts w:ascii="Times New Roman" w:eastAsia="Times New Roman" w:hAnsi="Times New Roman" w:cs="Times New Roman"/>
          <w:b/>
          <w:bCs/>
          <w:i/>
          <w:iCs/>
          <w:kern w:val="0"/>
          <w:sz w:val="28"/>
          <w:szCs w:val="28"/>
        </w:rPr>
        <w:t>Overview of Research Activities</w:t>
      </w:r>
    </w:p>
    <w:p w14:paraId="21560608" w14:textId="40EEF7A2" w:rsidR="00EF2DE7" w:rsidRDefault="007D478B" w:rsidP="002B50F1">
      <w:pPr>
        <w:spacing w:after="0" w:line="360" w:lineRule="auto"/>
        <w:ind w:firstLine="851"/>
        <w:jc w:val="both"/>
        <w:rPr>
          <w:rFonts w:ascii="Times New Roman" w:eastAsia="Times New Roman" w:hAnsi="Times New Roman" w:cs="Times New Roman"/>
          <w:color w:val="000000"/>
          <w:kern w:val="0"/>
          <w:lang w:val="bg-BG" w:eastAsia="bg-BG"/>
          <w14:ligatures w14:val="none"/>
        </w:rPr>
      </w:pPr>
      <w:r>
        <w:rPr>
          <w:rFonts w:ascii="Times New Roman" w:eastAsia="Times New Roman" w:hAnsi="Times New Roman" w:cs="Times New Roman"/>
          <w:color w:val="000000"/>
          <w:kern w:val="0"/>
          <w:lang w:eastAsia="bg-BG"/>
        </w:rPr>
        <w:t xml:space="preserve">The academic and scientific degree awarded, “Doctor in the professional category of Earth Sciences, Doctoral </w:t>
      </w:r>
      <w:proofErr w:type="spellStart"/>
      <w:r>
        <w:rPr>
          <w:rFonts w:ascii="Times New Roman" w:eastAsia="Times New Roman" w:hAnsi="Times New Roman" w:cs="Times New Roman"/>
          <w:color w:val="000000"/>
          <w:kern w:val="0"/>
          <w:lang w:eastAsia="bg-BG"/>
        </w:rPr>
        <w:t>Programme</w:t>
      </w:r>
      <w:proofErr w:type="spellEnd"/>
      <w:r>
        <w:rPr>
          <w:rFonts w:ascii="Times New Roman" w:eastAsia="Times New Roman" w:hAnsi="Times New Roman" w:cs="Times New Roman"/>
          <w:color w:val="000000"/>
          <w:kern w:val="0"/>
          <w:lang w:eastAsia="bg-BG"/>
        </w:rPr>
        <w:t xml:space="preserve"> in Petrology”, with diploma No. 095 dated 13 February 2020, meets criterion </w:t>
      </w:r>
      <w:r>
        <w:rPr>
          <w:rFonts w:ascii="Times New Roman" w:eastAsia="Times New Roman" w:hAnsi="Times New Roman" w:cs="Times New Roman"/>
          <w:b/>
          <w:bCs/>
          <w:color w:val="000000"/>
          <w:kern w:val="0"/>
          <w:lang w:eastAsia="bg-BG"/>
        </w:rPr>
        <w:t>“A”</w:t>
      </w:r>
      <w:r>
        <w:rPr>
          <w:rFonts w:ascii="Times New Roman" w:eastAsia="Times New Roman" w:hAnsi="Times New Roman" w:cs="Times New Roman"/>
          <w:color w:val="000000"/>
          <w:kern w:val="0"/>
          <w:lang w:eastAsia="bg-BG"/>
        </w:rPr>
        <w:t xml:space="preserve"> and carries the </w:t>
      </w:r>
      <w:r>
        <w:rPr>
          <w:rFonts w:ascii="Times New Roman" w:eastAsia="Times New Roman" w:hAnsi="Times New Roman" w:cs="Times New Roman"/>
          <w:b/>
          <w:bCs/>
          <w:color w:val="000000"/>
          <w:kern w:val="0"/>
          <w:lang w:eastAsia="bg-BG"/>
        </w:rPr>
        <w:t>required 50</w:t>
      </w:r>
      <w:r>
        <w:rPr>
          <w:rFonts w:ascii="Times New Roman" w:eastAsia="Times New Roman" w:hAnsi="Times New Roman" w:cs="Times New Roman"/>
          <w:color w:val="000000"/>
          <w:kern w:val="0"/>
          <w:lang w:eastAsia="bg-BG"/>
        </w:rPr>
        <w:t xml:space="preserve"> points in accordance with the Regulations for the Implementation of the Academic Staff Development in the Republic of Bulgaria Act.</w:t>
      </w:r>
    </w:p>
    <w:p w14:paraId="2D524B14" w14:textId="7A33F5AF" w:rsidR="00EF2DE7" w:rsidRPr="00785472" w:rsidRDefault="007D478B" w:rsidP="00CB333B">
      <w:pPr>
        <w:spacing w:after="0" w:line="360" w:lineRule="auto"/>
        <w:ind w:firstLine="851"/>
        <w:jc w:val="both"/>
        <w:rPr>
          <w:rFonts w:ascii="Times New Roman" w:eastAsia="Times New Roman" w:hAnsi="Times New Roman" w:cs="Times New Roman"/>
          <w:color w:val="000000"/>
          <w:kern w:val="0"/>
          <w:lang w:val="bg-BG" w:eastAsia="bg-BG"/>
          <w14:ligatures w14:val="none"/>
        </w:rPr>
      </w:pPr>
      <w:r>
        <w:rPr>
          <w:rFonts w:ascii="Times New Roman" w:eastAsia="Times New Roman" w:hAnsi="Times New Roman" w:cs="Times New Roman"/>
          <w:color w:val="000000"/>
          <w:kern w:val="0"/>
          <w:lang w:eastAsia="bg-BG"/>
        </w:rPr>
        <w:t xml:space="preserve">In accordance with Group </w:t>
      </w:r>
      <w:r>
        <w:rPr>
          <w:rFonts w:ascii="Times New Roman" w:eastAsia="Times New Roman" w:hAnsi="Times New Roman" w:cs="Times New Roman"/>
          <w:b/>
          <w:bCs/>
          <w:color w:val="000000"/>
          <w:kern w:val="0"/>
          <w:lang w:eastAsia="bg-BG"/>
        </w:rPr>
        <w:t>B</w:t>
      </w:r>
      <w:r>
        <w:rPr>
          <w:rFonts w:ascii="Times New Roman" w:eastAsia="Times New Roman" w:hAnsi="Times New Roman" w:cs="Times New Roman"/>
          <w:color w:val="000000"/>
          <w:kern w:val="0"/>
          <w:lang w:eastAsia="bg-BG"/>
        </w:rPr>
        <w:t xml:space="preserve"> Indicator 3 Habilitation Thesis (Monograph), in accordance with ASDRBA and its Implementing Regulations, she has submitted a monograph entitled </w:t>
      </w:r>
      <w:r>
        <w:rPr>
          <w:rFonts w:ascii="Times New Roman" w:eastAsia="Times New Roman" w:hAnsi="Times New Roman" w:cs="Times New Roman"/>
          <w:i/>
          <w:iCs/>
          <w:color w:val="000000"/>
          <w:kern w:val="0"/>
          <w:lang w:eastAsia="bg-BG"/>
        </w:rPr>
        <w:t xml:space="preserve">The </w:t>
      </w:r>
      <w:proofErr w:type="spellStart"/>
      <w:r>
        <w:rPr>
          <w:rFonts w:ascii="Times New Roman" w:eastAsia="Times New Roman" w:hAnsi="Times New Roman" w:cs="Times New Roman"/>
          <w:i/>
          <w:iCs/>
          <w:color w:val="000000"/>
          <w:kern w:val="0"/>
          <w:lang w:eastAsia="bg-BG"/>
        </w:rPr>
        <w:t>Gluhite</w:t>
      </w:r>
      <w:proofErr w:type="spellEnd"/>
      <w:r>
        <w:rPr>
          <w:rFonts w:ascii="Times New Roman" w:eastAsia="Times New Roman" w:hAnsi="Times New Roman" w:cs="Times New Roman"/>
          <w:i/>
          <w:iCs/>
          <w:color w:val="000000"/>
          <w:kern w:val="0"/>
          <w:lang w:eastAsia="bg-BG"/>
        </w:rPr>
        <w:t xml:space="preserve"> Kamani Rock Complex: Geoarchaeological Investigations</w:t>
      </w:r>
      <w:r>
        <w:rPr>
          <w:rFonts w:ascii="Times New Roman" w:eastAsia="Times New Roman" w:hAnsi="Times New Roman" w:cs="Times New Roman"/>
          <w:color w:val="000000"/>
          <w:kern w:val="0"/>
          <w:lang w:eastAsia="bg-BG"/>
        </w:rPr>
        <w:t xml:space="preserve">, published by Megalan Ltd. in 2026. The monograph, authored by Kamelia Marinova, has an ISBN of 978-619-04-0819-2. It is 140 pages long. This monograph fulfils </w:t>
      </w:r>
      <w:r>
        <w:rPr>
          <w:rFonts w:ascii="Times New Roman" w:eastAsia="Times New Roman" w:hAnsi="Times New Roman" w:cs="Times New Roman"/>
          <w:b/>
          <w:bCs/>
          <w:color w:val="000000"/>
          <w:kern w:val="0"/>
          <w:lang w:eastAsia="bg-BG"/>
        </w:rPr>
        <w:t>the required 100</w:t>
      </w:r>
      <w:r>
        <w:rPr>
          <w:rFonts w:ascii="Times New Roman" w:eastAsia="Times New Roman" w:hAnsi="Times New Roman" w:cs="Times New Roman"/>
          <w:color w:val="000000"/>
          <w:kern w:val="0"/>
          <w:lang w:eastAsia="bg-BG"/>
        </w:rPr>
        <w:t xml:space="preserve"> points under this indicator.</w:t>
      </w:r>
    </w:p>
    <w:p w14:paraId="48B43EB4" w14:textId="0820384B" w:rsidR="001C3ACE" w:rsidRPr="00325951" w:rsidRDefault="007D478B" w:rsidP="00D84D5C">
      <w:pPr>
        <w:spacing w:after="0" w:line="360" w:lineRule="auto"/>
        <w:ind w:firstLine="851"/>
        <w:jc w:val="both"/>
        <w:rPr>
          <w:rFonts w:ascii="Times New Roman" w:eastAsia="Times New Roman" w:hAnsi="Times New Roman" w:cs="Times New Roman"/>
          <w:color w:val="000000"/>
          <w:kern w:val="0"/>
          <w:lang w:val="bg-BG" w:eastAsia="bg-BG"/>
          <w14:ligatures w14:val="none"/>
        </w:rPr>
      </w:pPr>
      <w:r>
        <w:rPr>
          <w:rFonts w:ascii="Times New Roman" w:eastAsia="Times New Roman" w:hAnsi="Times New Roman" w:cs="Times New Roman"/>
          <w:color w:val="000000"/>
          <w:kern w:val="0"/>
          <w:lang w:eastAsia="bg-BG"/>
        </w:rPr>
        <w:t xml:space="preserve">In the list of unpublished works required to obtain </w:t>
      </w:r>
      <w:r w:rsidR="0035288B">
        <w:rPr>
          <w:rFonts w:ascii="Times New Roman" w:eastAsia="Times New Roman" w:hAnsi="Times New Roman" w:cs="Times New Roman"/>
          <w:color w:val="000000"/>
          <w:kern w:val="0"/>
          <w:lang w:eastAsia="bg-BG"/>
        </w:rPr>
        <w:t xml:space="preserve">a </w:t>
      </w:r>
      <w:proofErr w:type="gramStart"/>
      <w:r w:rsidR="0035288B">
        <w:rPr>
          <w:rFonts w:ascii="Times New Roman" w:eastAsia="Times New Roman" w:hAnsi="Times New Roman" w:cs="Times New Roman"/>
          <w:color w:val="000000"/>
          <w:kern w:val="0"/>
          <w:lang w:eastAsia="bg-BG"/>
        </w:rPr>
        <w:t>Doctor's</w:t>
      </w:r>
      <w:proofErr w:type="gramEnd"/>
      <w:r>
        <w:rPr>
          <w:rFonts w:ascii="Times New Roman" w:eastAsia="Times New Roman" w:hAnsi="Times New Roman" w:cs="Times New Roman"/>
          <w:color w:val="000000"/>
          <w:kern w:val="0"/>
          <w:lang w:eastAsia="bg-BG"/>
        </w:rPr>
        <w:t xml:space="preserve"> degree between 2013 and 2026, she has listed 35 research papers, 22 of which she is submitting as part of her application for the position of Associate Professor.12 of these have been cited and indexed in world-renowned scientific databases such as Web of Science and SCOPUS. Group </w:t>
      </w:r>
      <w:r>
        <w:rPr>
          <w:rFonts w:ascii="Times New Roman" w:eastAsia="Times New Roman" w:hAnsi="Times New Roman" w:cs="Times New Roman"/>
          <w:b/>
          <w:bCs/>
          <w:color w:val="000000"/>
          <w:kern w:val="0"/>
          <w:lang w:eastAsia="bg-BG"/>
        </w:rPr>
        <w:t>G</w:t>
      </w:r>
      <w:r>
        <w:rPr>
          <w:rFonts w:ascii="Times New Roman" w:eastAsia="Times New Roman" w:hAnsi="Times New Roman" w:cs="Times New Roman"/>
          <w:color w:val="000000"/>
          <w:kern w:val="0"/>
          <w:lang w:eastAsia="bg-BG"/>
        </w:rPr>
        <w:t xml:space="preserve"> comprises 2 papers published in Q2-quartile journals, three in Q3-quartile journals and eight in Q4-quartile journals. She is the lead author of one of the eight publications in national journals and conference proceedings, each of which is awarded six points as 'other' peer-reviewed publications. For co-authorship of a chapter in a collective monograph under indicator 8 after 2025, 15 points are awarded. Thus, in sections </w:t>
      </w:r>
      <w:r>
        <w:rPr>
          <w:rFonts w:ascii="Times New Roman" w:eastAsia="Times New Roman" w:hAnsi="Times New Roman" w:cs="Times New Roman"/>
          <w:b/>
          <w:bCs/>
          <w:color w:val="000000"/>
          <w:kern w:val="0"/>
          <w:lang w:eastAsia="bg-BG"/>
        </w:rPr>
        <w:t>G7</w:t>
      </w:r>
      <w:r>
        <w:rPr>
          <w:rFonts w:ascii="Times New Roman" w:eastAsia="Times New Roman" w:hAnsi="Times New Roman" w:cs="Times New Roman"/>
          <w:color w:val="000000"/>
          <w:kern w:val="0"/>
          <w:lang w:eastAsia="bg-BG"/>
        </w:rPr>
        <w:t xml:space="preserve"> and </w:t>
      </w:r>
      <w:r>
        <w:rPr>
          <w:rFonts w:ascii="Times New Roman" w:eastAsia="Times New Roman" w:hAnsi="Times New Roman" w:cs="Times New Roman"/>
          <w:b/>
          <w:bCs/>
          <w:color w:val="000000"/>
          <w:kern w:val="0"/>
          <w:lang w:eastAsia="bg-BG"/>
        </w:rPr>
        <w:t>G8</w:t>
      </w:r>
      <w:r>
        <w:rPr>
          <w:rFonts w:ascii="Times New Roman" w:eastAsia="Times New Roman" w:hAnsi="Times New Roman" w:cs="Times New Roman"/>
          <w:color w:val="000000"/>
          <w:kern w:val="0"/>
          <w:lang w:eastAsia="bg-BG"/>
        </w:rPr>
        <w:t xml:space="preserve"> combined, Kamelia Marinova has earned a total of </w:t>
      </w:r>
      <w:r>
        <w:rPr>
          <w:rFonts w:ascii="Times New Roman" w:eastAsia="Times New Roman" w:hAnsi="Times New Roman" w:cs="Times New Roman"/>
          <w:b/>
          <w:bCs/>
          <w:color w:val="000000"/>
          <w:kern w:val="0"/>
          <w:lang w:eastAsia="bg-BG"/>
        </w:rPr>
        <w:t>244</w:t>
      </w:r>
      <w:r>
        <w:rPr>
          <w:rFonts w:ascii="Times New Roman" w:eastAsia="Times New Roman" w:hAnsi="Times New Roman" w:cs="Times New Roman"/>
          <w:color w:val="000000"/>
          <w:kern w:val="0"/>
          <w:lang w:eastAsia="bg-BG"/>
        </w:rPr>
        <w:t xml:space="preserve"> points, </w:t>
      </w:r>
      <w:r>
        <w:rPr>
          <w:rFonts w:ascii="Times New Roman" w:eastAsia="Times New Roman" w:hAnsi="Times New Roman" w:cs="Times New Roman"/>
          <w:b/>
          <w:bCs/>
          <w:color w:val="000000"/>
          <w:kern w:val="0"/>
          <w:lang w:eastAsia="bg-BG"/>
        </w:rPr>
        <w:t>exceeding</w:t>
      </w:r>
      <w:r>
        <w:rPr>
          <w:rFonts w:ascii="Times New Roman" w:eastAsia="Times New Roman" w:hAnsi="Times New Roman" w:cs="Times New Roman"/>
          <w:color w:val="000000"/>
          <w:kern w:val="0"/>
          <w:lang w:eastAsia="bg-BG"/>
        </w:rPr>
        <w:t xml:space="preserve"> the requirements for this indicator.</w:t>
      </w:r>
    </w:p>
    <w:p w14:paraId="3E771C89" w14:textId="74694401" w:rsidR="00AC64B2" w:rsidRPr="006646D4" w:rsidRDefault="007D478B" w:rsidP="00C1550C">
      <w:pPr>
        <w:spacing w:after="0" w:line="360" w:lineRule="auto"/>
        <w:ind w:firstLine="851"/>
        <w:jc w:val="both"/>
        <w:rPr>
          <w:rFonts w:ascii="Times New Roman" w:eastAsia="Times New Roman" w:hAnsi="Times New Roman" w:cs="Times New Roman"/>
          <w:kern w:val="0"/>
          <w:lang w:val="bg-BG" w:eastAsia="bg-BG"/>
          <w14:ligatures w14:val="none"/>
        </w:rPr>
      </w:pPr>
      <w:r>
        <w:rPr>
          <w:rFonts w:ascii="Times New Roman" w:eastAsia="Times New Roman" w:hAnsi="Times New Roman" w:cs="Times New Roman"/>
          <w:kern w:val="0"/>
          <w:lang w:eastAsia="bg-BG"/>
        </w:rPr>
        <w:lastRenderedPageBreak/>
        <w:t xml:space="preserve">Eleven of her publications have been cited, with 16 citations appearing in peer-reviewed journals indexed in global scientific information databases. This places her evaluation within the </w:t>
      </w:r>
      <w:r>
        <w:rPr>
          <w:rFonts w:ascii="Times New Roman" w:eastAsia="Times New Roman" w:hAnsi="Times New Roman" w:cs="Times New Roman"/>
          <w:b/>
          <w:bCs/>
          <w:kern w:val="0"/>
          <w:lang w:eastAsia="bg-BG"/>
        </w:rPr>
        <w:t>D-11</w:t>
      </w:r>
      <w:r>
        <w:rPr>
          <w:rFonts w:ascii="Times New Roman" w:eastAsia="Times New Roman" w:hAnsi="Times New Roman" w:cs="Times New Roman"/>
          <w:kern w:val="0"/>
          <w:lang w:eastAsia="bg-BG"/>
        </w:rPr>
        <w:t xml:space="preserve"> and </w:t>
      </w:r>
      <w:r>
        <w:rPr>
          <w:rFonts w:ascii="Times New Roman" w:eastAsia="Times New Roman" w:hAnsi="Times New Roman" w:cs="Times New Roman"/>
          <w:b/>
          <w:bCs/>
          <w:kern w:val="0"/>
          <w:lang w:eastAsia="bg-BG"/>
        </w:rPr>
        <w:t>D-13</w:t>
      </w:r>
      <w:r>
        <w:rPr>
          <w:rFonts w:ascii="Times New Roman" w:eastAsia="Times New Roman" w:hAnsi="Times New Roman" w:cs="Times New Roman"/>
          <w:kern w:val="0"/>
          <w:lang w:eastAsia="bg-BG"/>
        </w:rPr>
        <w:t xml:space="preserve"> groups. 'Citations or reviews in non-peer-reviewed scientific journals' total </w:t>
      </w:r>
      <w:r>
        <w:rPr>
          <w:rFonts w:ascii="Times New Roman" w:eastAsia="Times New Roman" w:hAnsi="Times New Roman" w:cs="Times New Roman"/>
          <w:b/>
          <w:bCs/>
          <w:kern w:val="0"/>
          <w:lang w:eastAsia="bg-BG"/>
        </w:rPr>
        <w:t>82</w:t>
      </w:r>
      <w:r>
        <w:rPr>
          <w:rFonts w:ascii="Times New Roman" w:eastAsia="Times New Roman" w:hAnsi="Times New Roman" w:cs="Times New Roman"/>
          <w:kern w:val="0"/>
          <w:lang w:eastAsia="bg-BG"/>
        </w:rPr>
        <w:t xml:space="preserve">, which also </w:t>
      </w:r>
      <w:r>
        <w:rPr>
          <w:rFonts w:ascii="Times New Roman" w:eastAsia="Times New Roman" w:hAnsi="Times New Roman" w:cs="Times New Roman"/>
          <w:b/>
          <w:bCs/>
          <w:kern w:val="0"/>
          <w:lang w:eastAsia="bg-BG"/>
        </w:rPr>
        <w:t>meets</w:t>
      </w:r>
      <w:r>
        <w:rPr>
          <w:rFonts w:ascii="Times New Roman" w:eastAsia="Times New Roman" w:hAnsi="Times New Roman" w:cs="Times New Roman"/>
          <w:kern w:val="0"/>
          <w:lang w:eastAsia="bg-BG"/>
        </w:rPr>
        <w:t xml:space="preserve"> the requirements. The predominant level of citations in articles with Bulgarian authorship in Bulgarian scientific publications does not diminish their scientific value and demonstrates a shared perspective among geologists, archaeologists, geomorphologists, and scholars from other disciplines.</w:t>
      </w:r>
    </w:p>
    <w:p w14:paraId="74586693" w14:textId="2CD87C2B" w:rsidR="007760C2" w:rsidRDefault="007D478B" w:rsidP="007760C2">
      <w:pPr>
        <w:spacing w:after="0" w:line="360" w:lineRule="auto"/>
        <w:ind w:firstLine="851"/>
        <w:jc w:val="both"/>
        <w:rPr>
          <w:rFonts w:ascii="Times New Roman" w:eastAsia="Times New Roman" w:hAnsi="Times New Roman" w:cs="Times New Roman"/>
          <w:kern w:val="0"/>
          <w:lang w:val="bg-BG" w:eastAsia="bg-BG"/>
          <w14:ligatures w14:val="none"/>
        </w:rPr>
      </w:pPr>
      <w:r>
        <w:rPr>
          <w:rFonts w:ascii="Times New Roman" w:eastAsia="Times New Roman" w:hAnsi="Times New Roman" w:cs="Times New Roman"/>
          <w:kern w:val="0"/>
          <w:lang w:eastAsia="bg-BG"/>
        </w:rPr>
        <w:t xml:space="preserve">In summary, Kamelia Marinova’s academic output not only </w:t>
      </w:r>
      <w:r>
        <w:rPr>
          <w:rFonts w:ascii="Times New Roman" w:eastAsia="Times New Roman" w:hAnsi="Times New Roman" w:cs="Times New Roman"/>
          <w:b/>
          <w:bCs/>
          <w:kern w:val="0"/>
          <w:lang w:eastAsia="bg-BG"/>
        </w:rPr>
        <w:t>meets</w:t>
      </w:r>
      <w:r>
        <w:rPr>
          <w:rFonts w:ascii="Times New Roman" w:eastAsia="Times New Roman" w:hAnsi="Times New Roman" w:cs="Times New Roman"/>
          <w:kern w:val="0"/>
          <w:lang w:eastAsia="bg-BG"/>
        </w:rPr>
        <w:t xml:space="preserve">, but exceeds by </w:t>
      </w:r>
      <w:r>
        <w:rPr>
          <w:rFonts w:ascii="Times New Roman" w:eastAsia="Times New Roman" w:hAnsi="Times New Roman" w:cs="Times New Roman"/>
          <w:b/>
          <w:bCs/>
          <w:kern w:val="0"/>
          <w:lang w:eastAsia="bg-BG"/>
        </w:rPr>
        <w:t>43%</w:t>
      </w:r>
      <w:r>
        <w:rPr>
          <w:rFonts w:ascii="Times New Roman" w:eastAsia="Times New Roman" w:hAnsi="Times New Roman" w:cs="Times New Roman"/>
          <w:kern w:val="0"/>
          <w:lang w:eastAsia="bg-BG"/>
        </w:rPr>
        <w:t>, the minimum requirements for the position of Associate Professor, as set out in Appendix 1 of the 'Regulations on the Appointment to Academic Positions at UMG “St. Ivan Rilski”.</w:t>
      </w:r>
    </w:p>
    <w:p w14:paraId="442200BF" w14:textId="6C62FEDE" w:rsidR="00B47CDB" w:rsidRDefault="007D478B" w:rsidP="00C5701C">
      <w:pPr>
        <w:spacing w:after="0" w:line="360" w:lineRule="auto"/>
        <w:ind w:firstLine="851"/>
        <w:jc w:val="both"/>
        <w:rPr>
          <w:rFonts w:ascii="Times New Roman" w:eastAsia="Times New Roman" w:hAnsi="Times New Roman" w:cs="Times New Roman"/>
          <w:kern w:val="0"/>
          <w:lang w:val="bg-BG" w:eastAsia="bg-BG"/>
          <w14:ligatures w14:val="none"/>
        </w:rPr>
      </w:pPr>
      <w:r>
        <w:rPr>
          <w:rFonts w:ascii="Times New Roman" w:eastAsia="Times New Roman" w:hAnsi="Times New Roman" w:cs="Times New Roman"/>
          <w:kern w:val="0"/>
          <w:lang w:eastAsia="bg-BG"/>
        </w:rPr>
        <w:t xml:space="preserve">Claims of authorship for 3 new lecture courses, 3 innovations in teaching methods, conducting classes in a practical setting outside the university, and assisting colleagues with teaching in a museum setting are </w:t>
      </w:r>
      <w:r>
        <w:rPr>
          <w:rFonts w:ascii="Times New Roman" w:eastAsia="Times New Roman" w:hAnsi="Times New Roman" w:cs="Times New Roman"/>
          <w:b/>
          <w:bCs/>
          <w:kern w:val="0"/>
          <w:lang w:eastAsia="bg-BG"/>
        </w:rPr>
        <w:t>competencies related to teaching activities</w:t>
      </w:r>
      <w:r>
        <w:rPr>
          <w:rFonts w:ascii="Times New Roman" w:eastAsia="Times New Roman" w:hAnsi="Times New Roman" w:cs="Times New Roman"/>
          <w:kern w:val="0"/>
          <w:lang w:eastAsia="bg-BG"/>
        </w:rPr>
        <w:t xml:space="preserve">. These are assessed under Appendix 1A, </w:t>
      </w:r>
      <w:r>
        <w:rPr>
          <w:rFonts w:ascii="Times New Roman" w:eastAsia="Times New Roman" w:hAnsi="Times New Roman" w:cs="Times New Roman"/>
          <w:i/>
          <w:iCs/>
          <w:kern w:val="0"/>
          <w:lang w:eastAsia="bg-BG"/>
        </w:rPr>
        <w:t>Additional Requirements and Criteria for Holding the Academic Position of Associate Professor</w:t>
      </w:r>
      <w:r>
        <w:rPr>
          <w:rFonts w:ascii="Times New Roman" w:eastAsia="Times New Roman" w:hAnsi="Times New Roman" w:cs="Times New Roman"/>
          <w:kern w:val="0"/>
          <w:lang w:eastAsia="bg-BG"/>
        </w:rPr>
        <w:t xml:space="preserve">, provided that the candidate has earned an equal number of points to meet the minimum requirements and meets all the other conditions specified in the 'Regulations...'. The submitted evidence meets the minimum required score of 7 points and yields a total score of </w:t>
      </w:r>
      <w:r>
        <w:rPr>
          <w:rFonts w:ascii="Times New Roman" w:eastAsia="Times New Roman" w:hAnsi="Times New Roman" w:cs="Times New Roman"/>
          <w:b/>
          <w:bCs/>
          <w:kern w:val="0"/>
          <w:lang w:eastAsia="bg-BG"/>
        </w:rPr>
        <w:t>10 points</w:t>
      </w:r>
      <w:r>
        <w:rPr>
          <w:rFonts w:ascii="Times New Roman" w:eastAsia="Times New Roman" w:hAnsi="Times New Roman" w:cs="Times New Roman"/>
          <w:kern w:val="0"/>
          <w:lang w:eastAsia="bg-BG"/>
        </w:rPr>
        <w:t xml:space="preserve"> under Group 1. Participation in the </w:t>
      </w:r>
      <w:r>
        <w:rPr>
          <w:rFonts w:ascii="Times New Roman" w:eastAsia="Times New Roman" w:hAnsi="Times New Roman" w:cs="Times New Roman"/>
          <w:i/>
          <w:iCs/>
          <w:kern w:val="0"/>
          <w:lang w:eastAsia="bg-BG"/>
        </w:rPr>
        <w:t>International Scientific Conference</w:t>
      </w:r>
      <w:r>
        <w:rPr>
          <w:rFonts w:ascii="Times New Roman" w:eastAsia="Times New Roman" w:hAnsi="Times New Roman" w:cs="Times New Roman"/>
          <w:kern w:val="0"/>
          <w:lang w:eastAsia="bg-BG"/>
        </w:rPr>
        <w:t xml:space="preserve"> of </w:t>
      </w:r>
      <w:r w:rsidR="0035288B">
        <w:rPr>
          <w:rFonts w:ascii="Times New Roman" w:eastAsia="Times New Roman" w:hAnsi="Times New Roman" w:cs="Times New Roman"/>
          <w:kern w:val="0"/>
          <w:lang w:eastAsia="bg-BG"/>
        </w:rPr>
        <w:t xml:space="preserve">the </w:t>
      </w:r>
      <w:r>
        <w:rPr>
          <w:rFonts w:ascii="Times New Roman" w:eastAsia="Times New Roman" w:hAnsi="Times New Roman" w:cs="Times New Roman"/>
          <w:kern w:val="0"/>
          <w:lang w:eastAsia="bg-BG"/>
        </w:rPr>
        <w:t xml:space="preserve">University of Mining and Geology “St. Ivan Rislki”, the International Scientific Conference:  </w:t>
      </w:r>
      <w:r>
        <w:rPr>
          <w:rFonts w:ascii="Times New Roman" w:eastAsia="Times New Roman" w:hAnsi="Times New Roman" w:cs="Times New Roman"/>
          <w:i/>
          <w:iCs/>
          <w:kern w:val="0"/>
          <w:lang w:eastAsia="bg-BG"/>
        </w:rPr>
        <w:t>Geosciences</w:t>
      </w:r>
      <w:r>
        <w:rPr>
          <w:rFonts w:ascii="Times New Roman" w:eastAsia="Times New Roman" w:hAnsi="Times New Roman" w:cs="Times New Roman"/>
          <w:kern w:val="0"/>
          <w:lang w:eastAsia="bg-BG"/>
        </w:rPr>
        <w:t xml:space="preserve">, and the results from four articles and abstracts cited as having practical applications account for </w:t>
      </w:r>
      <w:r>
        <w:rPr>
          <w:rFonts w:ascii="Times New Roman" w:eastAsia="Times New Roman" w:hAnsi="Times New Roman" w:cs="Times New Roman"/>
          <w:b/>
          <w:bCs/>
          <w:kern w:val="0"/>
          <w:lang w:eastAsia="bg-BG"/>
        </w:rPr>
        <w:t>18 points</w:t>
      </w:r>
      <w:r>
        <w:rPr>
          <w:rFonts w:ascii="Times New Roman" w:eastAsia="Times New Roman" w:hAnsi="Times New Roman" w:cs="Times New Roman"/>
          <w:kern w:val="0"/>
          <w:lang w:eastAsia="bg-BG"/>
        </w:rPr>
        <w:t xml:space="preserve"> above the minimum required in Group 2, which </w:t>
      </w:r>
      <w:r>
        <w:rPr>
          <w:rFonts w:ascii="Times New Roman" w:eastAsia="Times New Roman" w:hAnsi="Times New Roman" w:cs="Times New Roman"/>
          <w:b/>
          <w:bCs/>
          <w:kern w:val="0"/>
          <w:lang w:eastAsia="bg-BG"/>
        </w:rPr>
        <w:t>pertains to research activity</w:t>
      </w:r>
      <w:r>
        <w:rPr>
          <w:rFonts w:ascii="Times New Roman" w:eastAsia="Times New Roman" w:hAnsi="Times New Roman" w:cs="Times New Roman"/>
          <w:kern w:val="0"/>
          <w:lang w:eastAsia="bg-BG"/>
        </w:rPr>
        <w:t xml:space="preserve">. </w:t>
      </w:r>
      <w:r>
        <w:rPr>
          <w:rFonts w:ascii="Times New Roman" w:eastAsia="Times New Roman" w:hAnsi="Times New Roman" w:cs="Times New Roman"/>
          <w:b/>
          <w:bCs/>
          <w:kern w:val="0"/>
          <w:lang w:eastAsia="bg-BG"/>
        </w:rPr>
        <w:t>Senior Assistant Professor Kamelia Marinova, PhD</w:t>
      </w:r>
      <w:r>
        <w:rPr>
          <w:rFonts w:ascii="Times New Roman" w:eastAsia="Times New Roman" w:hAnsi="Times New Roman" w:cs="Times New Roman"/>
          <w:kern w:val="0"/>
          <w:lang w:eastAsia="bg-BG"/>
        </w:rPr>
        <w:t>, has pursued an active research career motivated by her commitment to advancing her academic career and maintaining her permanent academic appointment. She has been affiliated with the Department of Mineralogy and Petrography, currently the Department of Hydrogeology and Engineering Geology (HIG), at the Faculty of Geology and Exploration since 2 January 2018, when she was appointed assistant professor. She was elected to the position of chief assistant professor on 12 December 2022 and has held this position ever since.</w:t>
      </w:r>
    </w:p>
    <w:p w14:paraId="539102BA" w14:textId="66307770" w:rsidR="001D6D56" w:rsidRPr="001D6D56" w:rsidRDefault="007D478B" w:rsidP="001D6D56">
      <w:pPr>
        <w:spacing w:after="0" w:line="360" w:lineRule="auto"/>
        <w:ind w:firstLine="851"/>
        <w:jc w:val="both"/>
        <w:rPr>
          <w:rFonts w:ascii="Times New Roman" w:eastAsia="Times New Roman" w:hAnsi="Times New Roman" w:cs="Times New Roman"/>
          <w:kern w:val="0"/>
          <w:lang w:val="bg-BG" w:eastAsia="bg-BG"/>
          <w14:ligatures w14:val="none"/>
        </w:rPr>
      </w:pPr>
      <w:r>
        <w:rPr>
          <w:rFonts w:ascii="Times New Roman" w:eastAsia="Times New Roman" w:hAnsi="Times New Roman" w:cs="Times New Roman"/>
          <w:color w:val="000000"/>
          <w:kern w:val="0"/>
          <w:lang w:eastAsia="bg-BG"/>
        </w:rPr>
        <w:t xml:space="preserve">Among the documents supporting the Departmental Council’s decision regarding compliance with the requirements of Art. 4, para. 2 of the University Regulations is the certificate confirming the availability of lecture hours for the competition as of 20 April 2026. During the </w:t>
      </w:r>
      <w:r>
        <w:rPr>
          <w:rFonts w:ascii="Times New Roman" w:eastAsia="Times New Roman" w:hAnsi="Times New Roman" w:cs="Times New Roman"/>
          <w:color w:val="000000"/>
          <w:kern w:val="0"/>
          <w:lang w:eastAsia="bg-BG"/>
        </w:rPr>
        <w:lastRenderedPageBreak/>
        <w:t xml:space="preserve">2021 - 2026 academic period, following the </w:t>
      </w:r>
      <w:proofErr w:type="spellStart"/>
      <w:r>
        <w:rPr>
          <w:rFonts w:ascii="Times New Roman" w:eastAsia="Times New Roman" w:hAnsi="Times New Roman" w:cs="Times New Roman"/>
          <w:color w:val="000000"/>
          <w:kern w:val="0"/>
          <w:lang w:eastAsia="bg-BG"/>
        </w:rPr>
        <w:t>defence</w:t>
      </w:r>
      <w:proofErr w:type="spellEnd"/>
      <w:r>
        <w:rPr>
          <w:rFonts w:ascii="Times New Roman" w:eastAsia="Times New Roman" w:hAnsi="Times New Roman" w:cs="Times New Roman"/>
          <w:color w:val="000000"/>
          <w:kern w:val="0"/>
          <w:lang w:eastAsia="bg-BG"/>
        </w:rPr>
        <w:t xml:space="preserve"> of the candidate’s doctoral dissertation, there has been a consistent increase in contact teaching hours beyond the mandatory 360 hours, with the addition of five seminars and lectures and seminars in two disciplines across eleven bachelor's </w:t>
      </w:r>
      <w:proofErr w:type="spellStart"/>
      <w:r>
        <w:rPr>
          <w:rFonts w:ascii="Times New Roman" w:eastAsia="Times New Roman" w:hAnsi="Times New Roman" w:cs="Times New Roman"/>
          <w:color w:val="000000"/>
          <w:kern w:val="0"/>
          <w:lang w:eastAsia="bg-BG"/>
        </w:rPr>
        <w:t>programmes</w:t>
      </w:r>
      <w:proofErr w:type="spellEnd"/>
      <w:r>
        <w:rPr>
          <w:rFonts w:ascii="Times New Roman" w:eastAsia="Times New Roman" w:hAnsi="Times New Roman" w:cs="Times New Roman"/>
          <w:color w:val="000000"/>
          <w:kern w:val="0"/>
          <w:lang w:eastAsia="bg-BG"/>
        </w:rPr>
        <w:t xml:space="preserve">. In the master's </w:t>
      </w:r>
      <w:proofErr w:type="spellStart"/>
      <w:r>
        <w:rPr>
          <w:rFonts w:ascii="Times New Roman" w:eastAsia="Times New Roman" w:hAnsi="Times New Roman" w:cs="Times New Roman"/>
          <w:color w:val="000000"/>
          <w:kern w:val="0"/>
          <w:lang w:eastAsia="bg-BG"/>
        </w:rPr>
        <w:t>programme</w:t>
      </w:r>
      <w:proofErr w:type="spellEnd"/>
      <w:r>
        <w:rPr>
          <w:rFonts w:ascii="Times New Roman" w:eastAsia="Times New Roman" w:hAnsi="Times New Roman" w:cs="Times New Roman"/>
          <w:color w:val="000000"/>
          <w:kern w:val="0"/>
          <w:lang w:eastAsia="bg-BG"/>
        </w:rPr>
        <w:t xml:space="preserve"> in Applied Mineralogy, lectures and seminars in Materials Science and Technical Mineralogy have been assigned for two academic years and seminars in 'Geoarchaeology' for four. These professional responsibilities, as formulated, meet the requirements of the Procedure.</w:t>
      </w:r>
    </w:p>
    <w:p w14:paraId="35660D59" w14:textId="5620DC9E" w:rsidR="00C53C16" w:rsidRPr="004A4D14" w:rsidRDefault="007D478B" w:rsidP="00B82610">
      <w:pPr>
        <w:spacing w:after="0" w:line="360" w:lineRule="auto"/>
        <w:ind w:firstLine="851"/>
        <w:jc w:val="center"/>
        <w:rPr>
          <w:rFonts w:ascii="Times New Roman" w:eastAsia="Times New Roman" w:hAnsi="Times New Roman" w:cs="Times New Roman"/>
          <w:b/>
          <w:bCs/>
          <w:i/>
          <w:iCs/>
          <w:kern w:val="0"/>
          <w:lang w:val="bg-BG" w:eastAsia="bg-BG"/>
          <w14:ligatures w14:val="none"/>
        </w:rPr>
      </w:pPr>
      <w:bookmarkStart w:id="0" w:name="_Hlk213673719"/>
      <w:r>
        <w:rPr>
          <w:rFonts w:ascii="Times New Roman" w:eastAsia="Times New Roman" w:hAnsi="Times New Roman" w:cs="Times New Roman"/>
          <w:b/>
          <w:bCs/>
          <w:i/>
          <w:iCs/>
          <w:kern w:val="0"/>
          <w:lang w:eastAsia="bg-BG"/>
        </w:rPr>
        <w:t>Assessment of Research Achievements</w:t>
      </w:r>
    </w:p>
    <w:bookmarkEnd w:id="0"/>
    <w:p w14:paraId="2758D0BF" w14:textId="5F5F4D97" w:rsidR="007D0EA6" w:rsidRPr="00A4072F" w:rsidRDefault="007D478B" w:rsidP="00A4072F">
      <w:pPr>
        <w:pStyle w:val="NoSpacing"/>
        <w:spacing w:line="360" w:lineRule="auto"/>
        <w:ind w:firstLine="851"/>
        <w:jc w:val="both"/>
        <w:rPr>
          <w:rFonts w:ascii="Times New Roman" w:eastAsia="Times New Roman" w:hAnsi="Times New Roman" w:cs="Times New Roman"/>
          <w:kern w:val="0"/>
          <w:lang w:val="bg-BG" w:eastAsia="bg-BG"/>
          <w14:ligatures w14:val="none"/>
        </w:rPr>
      </w:pPr>
      <w:r>
        <w:rPr>
          <w:rFonts w:ascii="Times New Roman" w:eastAsia="Times New Roman" w:hAnsi="Times New Roman" w:cs="Times New Roman"/>
          <w:kern w:val="0"/>
          <w:lang w:eastAsia="bg-BG"/>
        </w:rPr>
        <w:t xml:space="preserve">The results of a detailed petrographic analysis of ceramic artefacts (B.3-1, G.7-1, G.7-6, G.7-7, G.7-14, G.8-1), plasters and clays (G.7-8), weathered surfaces (G.7-2, G.7-15, G.7-16), dimension stone for cladding (G.7-3, G.7-13, G.7-17), critical and strategic raw materials (G.7-5) and geological environments (G.7-4, G.7-12) constitute the candidate’s scientific competencies. This analysis was achieved through the use of a combination of methods, such as optical microscopy, scanning electron spectroscopy and X-ray diffraction. Her achievements include identifying and </w:t>
      </w:r>
      <w:proofErr w:type="spellStart"/>
      <w:r>
        <w:rPr>
          <w:rFonts w:ascii="Times New Roman" w:eastAsia="Times New Roman" w:hAnsi="Times New Roman" w:cs="Times New Roman"/>
          <w:kern w:val="0"/>
          <w:lang w:eastAsia="bg-BG"/>
        </w:rPr>
        <w:t>analysing</w:t>
      </w:r>
      <w:proofErr w:type="spellEnd"/>
      <w:r>
        <w:rPr>
          <w:rFonts w:ascii="Times New Roman" w:eastAsia="Times New Roman" w:hAnsi="Times New Roman" w:cs="Times New Roman"/>
          <w:kern w:val="0"/>
          <w:lang w:eastAsia="bg-BG"/>
        </w:rPr>
        <w:t xml:space="preserve"> various mineral and rock inclusions in ceramic processes, assessing the potential of materials to identify sources of raw materials (G.7-18, G.7-19 and G.7-20); stratification in anthropogenic forms (G.7-10) and accurately documenting the mineralogical heritage of the museum (G.7-9, G.7-11 and G.7-21) in Bulgaria. The candidate has accurately described her contributions and the new knowledge presented in her publications, primarily in the field of petrology, that is, the scientific subject in which she is competing, as well as in the fields of geoarchaeology and materials science. These are also the titles of the courses she teaches.</w:t>
      </w:r>
    </w:p>
    <w:p w14:paraId="76E81B00" w14:textId="2E303ADA" w:rsidR="004A4D14" w:rsidRPr="004A4D14" w:rsidRDefault="007D478B" w:rsidP="001A7924">
      <w:pPr>
        <w:spacing w:after="0" w:line="360" w:lineRule="auto"/>
        <w:ind w:firstLine="720"/>
        <w:jc w:val="center"/>
        <w:rPr>
          <w:rFonts w:ascii="Times New Roman" w:eastAsia="Times New Roman" w:hAnsi="Times New Roman" w:cs="Times New Roman"/>
          <w:i/>
          <w:iCs/>
          <w:kern w:val="0"/>
          <w:lang w:val="bg-BG" w:eastAsia="bg-BG"/>
          <w14:ligatures w14:val="none"/>
        </w:rPr>
      </w:pPr>
      <w:r>
        <w:rPr>
          <w:rFonts w:ascii="Times New Roman" w:eastAsia="Times New Roman" w:hAnsi="Times New Roman" w:cs="Times New Roman"/>
          <w:b/>
          <w:bCs/>
          <w:i/>
          <w:iCs/>
          <w:kern w:val="0"/>
          <w:lang w:eastAsia="bg-BG"/>
        </w:rPr>
        <w:t>Conclusion</w:t>
      </w:r>
    </w:p>
    <w:p w14:paraId="658EDC2A" w14:textId="77777777" w:rsidR="007D478B" w:rsidRDefault="007D478B" w:rsidP="007D478B">
      <w:pPr>
        <w:spacing w:after="0" w:line="360" w:lineRule="auto"/>
        <w:ind w:firstLine="720"/>
        <w:jc w:val="both"/>
        <w:rPr>
          <w:rFonts w:ascii="Times New Roman" w:eastAsia="Times New Roman" w:hAnsi="Times New Roman" w:cs="Times New Roman"/>
          <w:kern w:val="0"/>
          <w:lang w:val="bg-BG" w:eastAsia="bg-BG"/>
          <w14:ligatures w14:val="none"/>
        </w:rPr>
      </w:pPr>
      <w:r>
        <w:rPr>
          <w:rFonts w:ascii="Times New Roman" w:eastAsia="Times New Roman" w:hAnsi="Times New Roman" w:cs="Times New Roman"/>
          <w:kern w:val="0"/>
          <w:lang w:eastAsia="bg-BG"/>
        </w:rPr>
        <w:t xml:space="preserve">In the research work of </w:t>
      </w:r>
      <w:r>
        <w:rPr>
          <w:rFonts w:ascii="Times New Roman" w:eastAsia="Times New Roman" w:hAnsi="Times New Roman" w:cs="Times New Roman"/>
          <w:b/>
          <w:bCs/>
          <w:kern w:val="0"/>
          <w:lang w:eastAsia="bg-BG"/>
        </w:rPr>
        <w:t xml:space="preserve">Chief </w:t>
      </w:r>
      <w:r w:rsidR="0035288B">
        <w:rPr>
          <w:rFonts w:ascii="Times New Roman" w:eastAsia="Times New Roman" w:hAnsi="Times New Roman" w:cs="Times New Roman"/>
          <w:b/>
          <w:bCs/>
          <w:kern w:val="0"/>
          <w:lang w:eastAsia="bg-BG"/>
        </w:rPr>
        <w:t>Assistant</w:t>
      </w:r>
      <w:r>
        <w:rPr>
          <w:rFonts w:ascii="Times New Roman" w:eastAsia="Times New Roman" w:hAnsi="Times New Roman" w:cs="Times New Roman"/>
          <w:b/>
          <w:bCs/>
          <w:kern w:val="0"/>
          <w:lang w:eastAsia="bg-BG"/>
        </w:rPr>
        <w:t xml:space="preserve"> Prof. PhD</w:t>
      </w:r>
      <w:r>
        <w:rPr>
          <w:rFonts w:ascii="Times New Roman" w:eastAsia="Times New Roman" w:hAnsi="Times New Roman" w:cs="Times New Roman"/>
          <w:kern w:val="0"/>
          <w:lang w:eastAsia="bg-BG"/>
        </w:rPr>
        <w:t xml:space="preserve"> Kamelia Yankova Marinova, I have found scientific and practical contributions that demonstrate </w:t>
      </w:r>
      <w:proofErr w:type="spellStart"/>
      <w:r>
        <w:rPr>
          <w:rFonts w:ascii="Times New Roman" w:eastAsia="Times New Roman" w:hAnsi="Times New Roman" w:cs="Times New Roman"/>
          <w:kern w:val="0"/>
          <w:lang w:eastAsia="bg-BG"/>
        </w:rPr>
        <w:t>skilful</w:t>
      </w:r>
      <w:proofErr w:type="spellEnd"/>
      <w:r>
        <w:rPr>
          <w:rFonts w:ascii="Times New Roman" w:eastAsia="Times New Roman" w:hAnsi="Times New Roman" w:cs="Times New Roman"/>
          <w:kern w:val="0"/>
          <w:lang w:eastAsia="bg-BG"/>
        </w:rPr>
        <w:t xml:space="preserve"> use of petrographic analysis, meeting the requirements of the</w:t>
      </w:r>
      <w:r>
        <w:rPr>
          <w:rFonts w:ascii="Times New Roman" w:eastAsia="Times New Roman" w:hAnsi="Times New Roman" w:cs="Times New Roman"/>
          <w:b/>
          <w:bCs/>
          <w:kern w:val="0"/>
          <w:lang w:eastAsia="bg-BG"/>
        </w:rPr>
        <w:t xml:space="preserve"> </w:t>
      </w:r>
      <w:r>
        <w:rPr>
          <w:rFonts w:ascii="Times New Roman" w:eastAsia="Times New Roman" w:hAnsi="Times New Roman" w:cs="Times New Roman"/>
          <w:kern w:val="0"/>
          <w:lang w:eastAsia="bg-BG"/>
        </w:rPr>
        <w:t>Regulations for the Implementation of ASDRBA and Regulations on the Appointment to Academic Positions at</w:t>
      </w:r>
      <w:r>
        <w:rPr>
          <w:rFonts w:ascii="Times New Roman" w:eastAsia="Times New Roman" w:hAnsi="Times New Roman" w:cs="Times New Roman"/>
          <w:b/>
          <w:bCs/>
          <w:kern w:val="0"/>
          <w:lang w:eastAsia="bg-BG"/>
        </w:rPr>
        <w:t xml:space="preserve"> </w:t>
      </w:r>
      <w:r>
        <w:rPr>
          <w:rFonts w:ascii="Times New Roman" w:eastAsia="Times New Roman" w:hAnsi="Times New Roman" w:cs="Times New Roman"/>
          <w:kern w:val="0"/>
          <w:lang w:eastAsia="bg-BG"/>
        </w:rPr>
        <w:t xml:space="preserve">UMG for the title of </w:t>
      </w:r>
      <w:r>
        <w:rPr>
          <w:rFonts w:ascii="Times New Roman" w:eastAsia="Times New Roman" w:hAnsi="Times New Roman" w:cs="Times New Roman"/>
          <w:b/>
          <w:bCs/>
          <w:kern w:val="0"/>
          <w:lang w:eastAsia="bg-BG"/>
        </w:rPr>
        <w:t>Associate Professor</w:t>
      </w:r>
      <w:r>
        <w:rPr>
          <w:rFonts w:ascii="Times New Roman" w:eastAsia="Times New Roman" w:hAnsi="Times New Roman" w:cs="Times New Roman"/>
          <w:kern w:val="0"/>
          <w:lang w:eastAsia="bg-BG"/>
        </w:rPr>
        <w:t xml:space="preserve">. I hereby declare to the members of the Academic Jury that I approve of her election as Associate Professor and </w:t>
      </w:r>
      <w:r>
        <w:rPr>
          <w:rFonts w:ascii="Times New Roman" w:eastAsia="Times New Roman" w:hAnsi="Times New Roman" w:cs="Times New Roman"/>
          <w:b/>
          <w:bCs/>
          <w:kern w:val="0"/>
          <w:lang w:eastAsia="bg-BG"/>
        </w:rPr>
        <w:t>vote '</w:t>
      </w:r>
      <w:proofErr w:type="spellStart"/>
      <w:r>
        <w:rPr>
          <w:rFonts w:ascii="Times New Roman" w:eastAsia="Times New Roman" w:hAnsi="Times New Roman" w:cs="Times New Roman"/>
          <w:b/>
          <w:bCs/>
          <w:kern w:val="0"/>
          <w:lang w:eastAsia="bg-BG"/>
        </w:rPr>
        <w:t>yes'</w:t>
      </w:r>
      <w:proofErr w:type="spellEnd"/>
      <w:r>
        <w:rPr>
          <w:rFonts w:ascii="Times New Roman" w:eastAsia="Times New Roman" w:hAnsi="Times New Roman" w:cs="Times New Roman"/>
          <w:b/>
          <w:bCs/>
          <w:kern w:val="0"/>
          <w:lang w:eastAsia="bg-BG"/>
        </w:rPr>
        <w:t xml:space="preserve"> with conviction</w:t>
      </w:r>
      <w:r>
        <w:rPr>
          <w:rFonts w:ascii="Times New Roman" w:eastAsia="Times New Roman" w:hAnsi="Times New Roman" w:cs="Times New Roman"/>
          <w:kern w:val="0"/>
          <w:lang w:eastAsia="bg-BG"/>
        </w:rPr>
        <w:t xml:space="preserve">. </w:t>
      </w:r>
    </w:p>
    <w:p w14:paraId="26766EE2" w14:textId="77777777" w:rsidR="00A15766" w:rsidRDefault="00A15766" w:rsidP="007D478B">
      <w:pPr>
        <w:spacing w:after="0" w:line="360" w:lineRule="auto"/>
        <w:ind w:firstLine="720"/>
        <w:jc w:val="both"/>
        <w:rPr>
          <w:rFonts w:ascii="Times New Roman" w:eastAsia="Times New Roman" w:hAnsi="Times New Roman" w:cs="Times New Roman"/>
          <w:kern w:val="0"/>
          <w:lang w:val="bg-BG" w:eastAsia="bg-BG"/>
        </w:rPr>
      </w:pPr>
    </w:p>
    <w:p w14:paraId="65F856AF" w14:textId="03215E34" w:rsidR="004A4D14" w:rsidRPr="004A4D14" w:rsidRDefault="007D478B" w:rsidP="007D478B">
      <w:pPr>
        <w:spacing w:after="0" w:line="360" w:lineRule="auto"/>
        <w:ind w:firstLine="720"/>
        <w:jc w:val="both"/>
        <w:rPr>
          <w:rFonts w:ascii="Times New Roman" w:eastAsia="Times New Roman" w:hAnsi="Times New Roman" w:cs="Times New Roman"/>
          <w:kern w:val="0"/>
          <w:lang w:val="bg-BG" w:eastAsia="bg-BG"/>
          <w14:ligatures w14:val="none"/>
        </w:rPr>
      </w:pPr>
      <w:r>
        <w:rPr>
          <w:rFonts w:ascii="Times New Roman" w:eastAsia="Times New Roman" w:hAnsi="Times New Roman" w:cs="Times New Roman"/>
          <w:kern w:val="0"/>
          <w:lang w:eastAsia="bg-BG"/>
        </w:rPr>
        <w:t xml:space="preserve">Sofia, </w:t>
      </w:r>
      <w:r w:rsidR="00C00FB4">
        <w:rPr>
          <w:rFonts w:ascii="Times New Roman" w:eastAsia="Times New Roman" w:hAnsi="Times New Roman" w:cs="Times New Roman"/>
          <w:kern w:val="0"/>
          <w:lang w:eastAsia="bg-BG"/>
        </w:rPr>
        <w:t>11</w:t>
      </w:r>
      <w:r>
        <w:rPr>
          <w:rFonts w:ascii="Times New Roman" w:eastAsia="Times New Roman" w:hAnsi="Times New Roman" w:cs="Times New Roman"/>
          <w:kern w:val="0"/>
          <w:lang w:eastAsia="bg-BG"/>
        </w:rPr>
        <w:t>/08/2026                      Member of the Scientific Jury:</w:t>
      </w:r>
    </w:p>
    <w:p w14:paraId="272A64A3" w14:textId="63592155" w:rsidR="004A4D14" w:rsidRDefault="007D478B" w:rsidP="004A4D14">
      <w:pPr>
        <w:spacing w:after="0" w:line="360" w:lineRule="auto"/>
        <w:ind w:firstLine="720"/>
        <w:jc w:val="both"/>
        <w:rPr>
          <w:rFonts w:ascii="Times New Roman" w:eastAsia="Times New Roman" w:hAnsi="Times New Roman" w:cs="Times New Roman"/>
          <w:kern w:val="0"/>
          <w:lang w:val="bg-BG" w:eastAsia="bg-BG"/>
          <w14:ligatures w14:val="none"/>
        </w:rPr>
      </w:pPr>
      <w:r>
        <w:rPr>
          <w:rFonts w:ascii="Times New Roman" w:eastAsia="Times New Roman" w:hAnsi="Times New Roman" w:cs="Times New Roman"/>
          <w:kern w:val="0"/>
          <w:lang w:eastAsia="bg-BG"/>
        </w:rPr>
        <w:t xml:space="preserve">                                                                               (Assoc. Prof. PhD Alexander Sarafov)</w:t>
      </w:r>
    </w:p>
    <w:sectPr w:rsidR="004A4D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621C6"/>
    <w:multiLevelType w:val="hybridMultilevel"/>
    <w:tmpl w:val="FFFFFFFF"/>
    <w:lvl w:ilvl="0" w:tplc="F13AF29A">
      <w:start w:val="1"/>
      <w:numFmt w:val="decimal"/>
      <w:lvlText w:val=""/>
      <w:lvlJc w:val="left"/>
    </w:lvl>
    <w:lvl w:ilvl="1" w:tplc="83E6B0C4">
      <w:numFmt w:val="decimal"/>
      <w:lvlText w:val=""/>
      <w:lvlJc w:val="left"/>
    </w:lvl>
    <w:lvl w:ilvl="2" w:tplc="E7BA532E">
      <w:numFmt w:val="decimal"/>
      <w:lvlText w:val=""/>
      <w:lvlJc w:val="left"/>
    </w:lvl>
    <w:lvl w:ilvl="3" w:tplc="A4FCD25A">
      <w:numFmt w:val="decimal"/>
      <w:lvlText w:val=""/>
      <w:lvlJc w:val="left"/>
    </w:lvl>
    <w:lvl w:ilvl="4" w:tplc="72607172">
      <w:numFmt w:val="decimal"/>
      <w:lvlText w:val=""/>
      <w:lvlJc w:val="left"/>
    </w:lvl>
    <w:lvl w:ilvl="5" w:tplc="9D6CC3CA">
      <w:numFmt w:val="decimal"/>
      <w:lvlText w:val=""/>
      <w:lvlJc w:val="left"/>
    </w:lvl>
    <w:lvl w:ilvl="6" w:tplc="AB9C0608">
      <w:numFmt w:val="decimal"/>
      <w:lvlText w:val=""/>
      <w:lvlJc w:val="left"/>
    </w:lvl>
    <w:lvl w:ilvl="7" w:tplc="A2BA5544">
      <w:numFmt w:val="decimal"/>
      <w:lvlText w:val=""/>
      <w:lvlJc w:val="left"/>
    </w:lvl>
    <w:lvl w:ilvl="8" w:tplc="74A42560">
      <w:numFmt w:val="decimal"/>
      <w:lvlText w:val=""/>
      <w:lvlJc w:val="left"/>
    </w:lvl>
  </w:abstractNum>
  <w:abstractNum w:abstractNumId="1" w15:restartNumberingAfterBreak="0">
    <w:nsid w:val="2F20D182"/>
    <w:multiLevelType w:val="hybridMultilevel"/>
    <w:tmpl w:val="FFFFFFFF"/>
    <w:lvl w:ilvl="0" w:tplc="E68AB786">
      <w:start w:val="1"/>
      <w:numFmt w:val="decimal"/>
      <w:lvlText w:val=""/>
      <w:lvlJc w:val="left"/>
    </w:lvl>
    <w:lvl w:ilvl="1" w:tplc="0CA8DF10">
      <w:numFmt w:val="decimal"/>
      <w:lvlText w:val=""/>
      <w:lvlJc w:val="left"/>
    </w:lvl>
    <w:lvl w:ilvl="2" w:tplc="0B784F9C">
      <w:numFmt w:val="decimal"/>
      <w:lvlText w:val=""/>
      <w:lvlJc w:val="left"/>
    </w:lvl>
    <w:lvl w:ilvl="3" w:tplc="807447C0">
      <w:numFmt w:val="decimal"/>
      <w:lvlText w:val=""/>
      <w:lvlJc w:val="left"/>
    </w:lvl>
    <w:lvl w:ilvl="4" w:tplc="0E08CA7E">
      <w:numFmt w:val="decimal"/>
      <w:lvlText w:val=""/>
      <w:lvlJc w:val="left"/>
    </w:lvl>
    <w:lvl w:ilvl="5" w:tplc="FFD8AD20">
      <w:numFmt w:val="decimal"/>
      <w:lvlText w:val=""/>
      <w:lvlJc w:val="left"/>
    </w:lvl>
    <w:lvl w:ilvl="6" w:tplc="1266340E">
      <w:numFmt w:val="decimal"/>
      <w:lvlText w:val=""/>
      <w:lvlJc w:val="left"/>
    </w:lvl>
    <w:lvl w:ilvl="7" w:tplc="7C7635F4">
      <w:numFmt w:val="decimal"/>
      <w:lvlText w:val=""/>
      <w:lvlJc w:val="left"/>
    </w:lvl>
    <w:lvl w:ilvl="8" w:tplc="2A567BA2">
      <w:numFmt w:val="decimal"/>
      <w:lvlText w:val=""/>
      <w:lvlJc w:val="left"/>
    </w:lvl>
  </w:abstractNum>
  <w:abstractNum w:abstractNumId="2" w15:restartNumberingAfterBreak="0">
    <w:nsid w:val="33F04BCC"/>
    <w:multiLevelType w:val="hybridMultilevel"/>
    <w:tmpl w:val="8DC8DB4C"/>
    <w:lvl w:ilvl="0" w:tplc="86E6A990">
      <w:start w:val="1"/>
      <w:numFmt w:val="decimal"/>
      <w:lvlText w:val="%1."/>
      <w:lvlJc w:val="left"/>
      <w:pPr>
        <w:ind w:left="1211" w:hanging="360"/>
      </w:pPr>
      <w:rPr>
        <w:rFonts w:hint="default"/>
      </w:rPr>
    </w:lvl>
    <w:lvl w:ilvl="1" w:tplc="ACBC54CC" w:tentative="1">
      <w:start w:val="1"/>
      <w:numFmt w:val="lowerLetter"/>
      <w:lvlText w:val="%2."/>
      <w:lvlJc w:val="left"/>
      <w:pPr>
        <w:ind w:left="1931" w:hanging="360"/>
      </w:pPr>
    </w:lvl>
    <w:lvl w:ilvl="2" w:tplc="8666778E" w:tentative="1">
      <w:start w:val="1"/>
      <w:numFmt w:val="lowerRoman"/>
      <w:lvlText w:val="%3."/>
      <w:lvlJc w:val="right"/>
      <w:pPr>
        <w:ind w:left="2651" w:hanging="180"/>
      </w:pPr>
    </w:lvl>
    <w:lvl w:ilvl="3" w:tplc="039239A4" w:tentative="1">
      <w:start w:val="1"/>
      <w:numFmt w:val="decimal"/>
      <w:lvlText w:val="%4."/>
      <w:lvlJc w:val="left"/>
      <w:pPr>
        <w:ind w:left="3371" w:hanging="360"/>
      </w:pPr>
    </w:lvl>
    <w:lvl w:ilvl="4" w:tplc="B38808AA" w:tentative="1">
      <w:start w:val="1"/>
      <w:numFmt w:val="lowerLetter"/>
      <w:lvlText w:val="%5."/>
      <w:lvlJc w:val="left"/>
      <w:pPr>
        <w:ind w:left="4091" w:hanging="360"/>
      </w:pPr>
    </w:lvl>
    <w:lvl w:ilvl="5" w:tplc="CE0A0426" w:tentative="1">
      <w:start w:val="1"/>
      <w:numFmt w:val="lowerRoman"/>
      <w:lvlText w:val="%6."/>
      <w:lvlJc w:val="right"/>
      <w:pPr>
        <w:ind w:left="4811" w:hanging="180"/>
      </w:pPr>
    </w:lvl>
    <w:lvl w:ilvl="6" w:tplc="958E026E" w:tentative="1">
      <w:start w:val="1"/>
      <w:numFmt w:val="decimal"/>
      <w:lvlText w:val="%7."/>
      <w:lvlJc w:val="left"/>
      <w:pPr>
        <w:ind w:left="5531" w:hanging="360"/>
      </w:pPr>
    </w:lvl>
    <w:lvl w:ilvl="7" w:tplc="9BFA62EC" w:tentative="1">
      <w:start w:val="1"/>
      <w:numFmt w:val="lowerLetter"/>
      <w:lvlText w:val="%8."/>
      <w:lvlJc w:val="left"/>
      <w:pPr>
        <w:ind w:left="6251" w:hanging="360"/>
      </w:pPr>
    </w:lvl>
    <w:lvl w:ilvl="8" w:tplc="5576F572" w:tentative="1">
      <w:start w:val="1"/>
      <w:numFmt w:val="lowerRoman"/>
      <w:lvlText w:val="%9."/>
      <w:lvlJc w:val="right"/>
      <w:pPr>
        <w:ind w:left="6971" w:hanging="180"/>
      </w:pPr>
    </w:lvl>
  </w:abstractNum>
  <w:abstractNum w:abstractNumId="3" w15:restartNumberingAfterBreak="0">
    <w:nsid w:val="456616A0"/>
    <w:multiLevelType w:val="hybridMultilevel"/>
    <w:tmpl w:val="938E3C92"/>
    <w:lvl w:ilvl="0" w:tplc="073CEC72">
      <w:start w:val="4"/>
      <w:numFmt w:val="bullet"/>
      <w:lvlText w:val="-"/>
      <w:lvlJc w:val="left"/>
      <w:pPr>
        <w:ind w:left="1211" w:hanging="360"/>
      </w:pPr>
      <w:rPr>
        <w:rFonts w:ascii="Times New Roman" w:eastAsia="Times New Roman" w:hAnsi="Times New Roman" w:cs="Times New Roman" w:hint="default"/>
      </w:rPr>
    </w:lvl>
    <w:lvl w:ilvl="1" w:tplc="7408F606" w:tentative="1">
      <w:start w:val="1"/>
      <w:numFmt w:val="bullet"/>
      <w:lvlText w:val="o"/>
      <w:lvlJc w:val="left"/>
      <w:pPr>
        <w:ind w:left="1931" w:hanging="360"/>
      </w:pPr>
      <w:rPr>
        <w:rFonts w:ascii="Courier New" w:hAnsi="Courier New" w:cs="Courier New" w:hint="default"/>
      </w:rPr>
    </w:lvl>
    <w:lvl w:ilvl="2" w:tplc="F138A2D0" w:tentative="1">
      <w:start w:val="1"/>
      <w:numFmt w:val="bullet"/>
      <w:lvlText w:val=""/>
      <w:lvlJc w:val="left"/>
      <w:pPr>
        <w:ind w:left="2651" w:hanging="360"/>
      </w:pPr>
      <w:rPr>
        <w:rFonts w:ascii="Wingdings" w:hAnsi="Wingdings" w:hint="default"/>
      </w:rPr>
    </w:lvl>
    <w:lvl w:ilvl="3" w:tplc="A7DE7176" w:tentative="1">
      <w:start w:val="1"/>
      <w:numFmt w:val="bullet"/>
      <w:lvlText w:val=""/>
      <w:lvlJc w:val="left"/>
      <w:pPr>
        <w:ind w:left="3371" w:hanging="360"/>
      </w:pPr>
      <w:rPr>
        <w:rFonts w:ascii="Symbol" w:hAnsi="Symbol" w:hint="default"/>
      </w:rPr>
    </w:lvl>
    <w:lvl w:ilvl="4" w:tplc="5B6A60C6" w:tentative="1">
      <w:start w:val="1"/>
      <w:numFmt w:val="bullet"/>
      <w:lvlText w:val="o"/>
      <w:lvlJc w:val="left"/>
      <w:pPr>
        <w:ind w:left="4091" w:hanging="360"/>
      </w:pPr>
      <w:rPr>
        <w:rFonts w:ascii="Courier New" w:hAnsi="Courier New" w:cs="Courier New" w:hint="default"/>
      </w:rPr>
    </w:lvl>
    <w:lvl w:ilvl="5" w:tplc="00CAC5C4" w:tentative="1">
      <w:start w:val="1"/>
      <w:numFmt w:val="bullet"/>
      <w:lvlText w:val=""/>
      <w:lvlJc w:val="left"/>
      <w:pPr>
        <w:ind w:left="4811" w:hanging="360"/>
      </w:pPr>
      <w:rPr>
        <w:rFonts w:ascii="Wingdings" w:hAnsi="Wingdings" w:hint="default"/>
      </w:rPr>
    </w:lvl>
    <w:lvl w:ilvl="6" w:tplc="74AA0A74" w:tentative="1">
      <w:start w:val="1"/>
      <w:numFmt w:val="bullet"/>
      <w:lvlText w:val=""/>
      <w:lvlJc w:val="left"/>
      <w:pPr>
        <w:ind w:left="5531" w:hanging="360"/>
      </w:pPr>
      <w:rPr>
        <w:rFonts w:ascii="Symbol" w:hAnsi="Symbol" w:hint="default"/>
      </w:rPr>
    </w:lvl>
    <w:lvl w:ilvl="7" w:tplc="5D5E5D8C" w:tentative="1">
      <w:start w:val="1"/>
      <w:numFmt w:val="bullet"/>
      <w:lvlText w:val="o"/>
      <w:lvlJc w:val="left"/>
      <w:pPr>
        <w:ind w:left="6251" w:hanging="360"/>
      </w:pPr>
      <w:rPr>
        <w:rFonts w:ascii="Courier New" w:hAnsi="Courier New" w:cs="Courier New" w:hint="default"/>
      </w:rPr>
    </w:lvl>
    <w:lvl w:ilvl="8" w:tplc="1988DFAC" w:tentative="1">
      <w:start w:val="1"/>
      <w:numFmt w:val="bullet"/>
      <w:lvlText w:val=""/>
      <w:lvlJc w:val="left"/>
      <w:pPr>
        <w:ind w:left="6971" w:hanging="360"/>
      </w:pPr>
      <w:rPr>
        <w:rFonts w:ascii="Wingdings" w:hAnsi="Wingdings" w:hint="default"/>
      </w:rPr>
    </w:lvl>
  </w:abstractNum>
  <w:abstractNum w:abstractNumId="4" w15:restartNumberingAfterBreak="0">
    <w:nsid w:val="72C33112"/>
    <w:multiLevelType w:val="hybridMultilevel"/>
    <w:tmpl w:val="FFFFFFFF"/>
    <w:lvl w:ilvl="0" w:tplc="EFCAA80E">
      <w:start w:val="1"/>
      <w:numFmt w:val="decimal"/>
      <w:lvlText w:val=""/>
      <w:lvlJc w:val="left"/>
    </w:lvl>
    <w:lvl w:ilvl="1" w:tplc="A3E2B2E0">
      <w:numFmt w:val="decimal"/>
      <w:lvlText w:val=""/>
      <w:lvlJc w:val="left"/>
    </w:lvl>
    <w:lvl w:ilvl="2" w:tplc="F2B4A92C">
      <w:numFmt w:val="decimal"/>
      <w:lvlText w:val=""/>
      <w:lvlJc w:val="left"/>
    </w:lvl>
    <w:lvl w:ilvl="3" w:tplc="7B5C018A">
      <w:numFmt w:val="decimal"/>
      <w:lvlText w:val=""/>
      <w:lvlJc w:val="left"/>
    </w:lvl>
    <w:lvl w:ilvl="4" w:tplc="6C66FBA2">
      <w:numFmt w:val="decimal"/>
      <w:lvlText w:val=""/>
      <w:lvlJc w:val="left"/>
    </w:lvl>
    <w:lvl w:ilvl="5" w:tplc="3524F3BE">
      <w:numFmt w:val="decimal"/>
      <w:lvlText w:val=""/>
      <w:lvlJc w:val="left"/>
    </w:lvl>
    <w:lvl w:ilvl="6" w:tplc="414EC252">
      <w:numFmt w:val="decimal"/>
      <w:lvlText w:val=""/>
      <w:lvlJc w:val="left"/>
    </w:lvl>
    <w:lvl w:ilvl="7" w:tplc="4C0AAFFA">
      <w:numFmt w:val="decimal"/>
      <w:lvlText w:val=""/>
      <w:lvlJc w:val="left"/>
    </w:lvl>
    <w:lvl w:ilvl="8" w:tplc="A1E20290">
      <w:numFmt w:val="decimal"/>
      <w:lvlText w:val=""/>
      <w:lvlJc w:val="left"/>
    </w:lvl>
  </w:abstractNum>
  <w:num w:numId="1" w16cid:durableId="1981036695">
    <w:abstractNumId w:val="4"/>
  </w:num>
  <w:num w:numId="2" w16cid:durableId="2035764013">
    <w:abstractNumId w:val="1"/>
  </w:num>
  <w:num w:numId="3" w16cid:durableId="1388725358">
    <w:abstractNumId w:val="0"/>
  </w:num>
  <w:num w:numId="4" w16cid:durableId="291329186">
    <w:abstractNumId w:val="3"/>
  </w:num>
  <w:num w:numId="5" w16cid:durableId="7820015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351"/>
    <w:rsid w:val="0000754C"/>
    <w:rsid w:val="00010541"/>
    <w:rsid w:val="0001054E"/>
    <w:rsid w:val="00040AA9"/>
    <w:rsid w:val="000478CA"/>
    <w:rsid w:val="00080DC3"/>
    <w:rsid w:val="000819D0"/>
    <w:rsid w:val="00097D45"/>
    <w:rsid w:val="000A08D9"/>
    <w:rsid w:val="000C41C8"/>
    <w:rsid w:val="000D23EA"/>
    <w:rsid w:val="000D4750"/>
    <w:rsid w:val="000D5751"/>
    <w:rsid w:val="000E4A8C"/>
    <w:rsid w:val="000E4C1C"/>
    <w:rsid w:val="000F7439"/>
    <w:rsid w:val="00123B50"/>
    <w:rsid w:val="00127F4B"/>
    <w:rsid w:val="00131C30"/>
    <w:rsid w:val="00141A77"/>
    <w:rsid w:val="0014580C"/>
    <w:rsid w:val="001706A7"/>
    <w:rsid w:val="0017513B"/>
    <w:rsid w:val="00180594"/>
    <w:rsid w:val="001A7924"/>
    <w:rsid w:val="001B2F81"/>
    <w:rsid w:val="001C3ACE"/>
    <w:rsid w:val="001C7890"/>
    <w:rsid w:val="001D6D56"/>
    <w:rsid w:val="001F2397"/>
    <w:rsid w:val="001F4B43"/>
    <w:rsid w:val="00210820"/>
    <w:rsid w:val="002166ED"/>
    <w:rsid w:val="0024148B"/>
    <w:rsid w:val="00245914"/>
    <w:rsid w:val="00246FF2"/>
    <w:rsid w:val="0025042E"/>
    <w:rsid w:val="00250773"/>
    <w:rsid w:val="00263269"/>
    <w:rsid w:val="002669F6"/>
    <w:rsid w:val="002841BC"/>
    <w:rsid w:val="00287E2C"/>
    <w:rsid w:val="00290582"/>
    <w:rsid w:val="002A0CEE"/>
    <w:rsid w:val="002A2A60"/>
    <w:rsid w:val="002B50F1"/>
    <w:rsid w:val="002C464A"/>
    <w:rsid w:val="002E1C4F"/>
    <w:rsid w:val="002F2CD7"/>
    <w:rsid w:val="002F5BED"/>
    <w:rsid w:val="002F5F7C"/>
    <w:rsid w:val="0030049F"/>
    <w:rsid w:val="003014DE"/>
    <w:rsid w:val="0030558C"/>
    <w:rsid w:val="00311BCB"/>
    <w:rsid w:val="00325951"/>
    <w:rsid w:val="00325DD9"/>
    <w:rsid w:val="00331DAB"/>
    <w:rsid w:val="00344D4D"/>
    <w:rsid w:val="00350B76"/>
    <w:rsid w:val="0035288B"/>
    <w:rsid w:val="00361A22"/>
    <w:rsid w:val="0036374E"/>
    <w:rsid w:val="00366827"/>
    <w:rsid w:val="003738C4"/>
    <w:rsid w:val="00383667"/>
    <w:rsid w:val="003B0119"/>
    <w:rsid w:val="003B2732"/>
    <w:rsid w:val="003B298B"/>
    <w:rsid w:val="003B4EFB"/>
    <w:rsid w:val="003D19E8"/>
    <w:rsid w:val="003D7ABE"/>
    <w:rsid w:val="003E5F12"/>
    <w:rsid w:val="004074DA"/>
    <w:rsid w:val="00412492"/>
    <w:rsid w:val="00413813"/>
    <w:rsid w:val="00413B1D"/>
    <w:rsid w:val="004203CA"/>
    <w:rsid w:val="00435566"/>
    <w:rsid w:val="00436C9A"/>
    <w:rsid w:val="00440BE8"/>
    <w:rsid w:val="00444245"/>
    <w:rsid w:val="0046757B"/>
    <w:rsid w:val="00467AA4"/>
    <w:rsid w:val="004A4D14"/>
    <w:rsid w:val="004B2C67"/>
    <w:rsid w:val="004D57BE"/>
    <w:rsid w:val="004D7A4C"/>
    <w:rsid w:val="004E448B"/>
    <w:rsid w:val="005001DF"/>
    <w:rsid w:val="00501371"/>
    <w:rsid w:val="00505C3E"/>
    <w:rsid w:val="00523B51"/>
    <w:rsid w:val="00525519"/>
    <w:rsid w:val="0052584A"/>
    <w:rsid w:val="005317FC"/>
    <w:rsid w:val="00532A61"/>
    <w:rsid w:val="005402FF"/>
    <w:rsid w:val="00552ED5"/>
    <w:rsid w:val="00570774"/>
    <w:rsid w:val="005B03E5"/>
    <w:rsid w:val="005E492A"/>
    <w:rsid w:val="005E4B62"/>
    <w:rsid w:val="005F5F33"/>
    <w:rsid w:val="005F7672"/>
    <w:rsid w:val="00601CD6"/>
    <w:rsid w:val="00604DF9"/>
    <w:rsid w:val="006646D4"/>
    <w:rsid w:val="00693897"/>
    <w:rsid w:val="006A68B0"/>
    <w:rsid w:val="006B43CE"/>
    <w:rsid w:val="006B52C9"/>
    <w:rsid w:val="006C481E"/>
    <w:rsid w:val="006C6308"/>
    <w:rsid w:val="006D69A3"/>
    <w:rsid w:val="006E3C43"/>
    <w:rsid w:val="006F2AEF"/>
    <w:rsid w:val="006F5ABE"/>
    <w:rsid w:val="006F7531"/>
    <w:rsid w:val="006F7F3F"/>
    <w:rsid w:val="00721229"/>
    <w:rsid w:val="00733430"/>
    <w:rsid w:val="007376F4"/>
    <w:rsid w:val="00740027"/>
    <w:rsid w:val="007760C2"/>
    <w:rsid w:val="00776F39"/>
    <w:rsid w:val="00777F3D"/>
    <w:rsid w:val="00785472"/>
    <w:rsid w:val="0078635A"/>
    <w:rsid w:val="0079617F"/>
    <w:rsid w:val="0079748D"/>
    <w:rsid w:val="007B0A7C"/>
    <w:rsid w:val="007D0C89"/>
    <w:rsid w:val="007D0EA6"/>
    <w:rsid w:val="007D478B"/>
    <w:rsid w:val="007E7C21"/>
    <w:rsid w:val="007F1C43"/>
    <w:rsid w:val="0080113A"/>
    <w:rsid w:val="0081496E"/>
    <w:rsid w:val="00821F18"/>
    <w:rsid w:val="00822360"/>
    <w:rsid w:val="00822AEB"/>
    <w:rsid w:val="008251EF"/>
    <w:rsid w:val="0082622D"/>
    <w:rsid w:val="0082680D"/>
    <w:rsid w:val="00827B5D"/>
    <w:rsid w:val="008431CB"/>
    <w:rsid w:val="00850B14"/>
    <w:rsid w:val="00873F9E"/>
    <w:rsid w:val="00882DCC"/>
    <w:rsid w:val="0089018D"/>
    <w:rsid w:val="008945A5"/>
    <w:rsid w:val="0089659D"/>
    <w:rsid w:val="008A5D35"/>
    <w:rsid w:val="008D3D15"/>
    <w:rsid w:val="00917D0D"/>
    <w:rsid w:val="00921901"/>
    <w:rsid w:val="009374E7"/>
    <w:rsid w:val="00937A8E"/>
    <w:rsid w:val="00944536"/>
    <w:rsid w:val="0095656B"/>
    <w:rsid w:val="00964FF0"/>
    <w:rsid w:val="009753C1"/>
    <w:rsid w:val="00997039"/>
    <w:rsid w:val="009A0D44"/>
    <w:rsid w:val="009A7C67"/>
    <w:rsid w:val="009B5E8D"/>
    <w:rsid w:val="009E0A75"/>
    <w:rsid w:val="009E2CC7"/>
    <w:rsid w:val="009F1E36"/>
    <w:rsid w:val="009F3990"/>
    <w:rsid w:val="009F46A5"/>
    <w:rsid w:val="00A15766"/>
    <w:rsid w:val="00A17AED"/>
    <w:rsid w:val="00A20F59"/>
    <w:rsid w:val="00A4072F"/>
    <w:rsid w:val="00A534F2"/>
    <w:rsid w:val="00A7551C"/>
    <w:rsid w:val="00A76CE3"/>
    <w:rsid w:val="00A92AA5"/>
    <w:rsid w:val="00AC64B2"/>
    <w:rsid w:val="00AE1747"/>
    <w:rsid w:val="00AE4B71"/>
    <w:rsid w:val="00B00D5D"/>
    <w:rsid w:val="00B04998"/>
    <w:rsid w:val="00B30D25"/>
    <w:rsid w:val="00B40F33"/>
    <w:rsid w:val="00B47CDB"/>
    <w:rsid w:val="00B555CF"/>
    <w:rsid w:val="00B55708"/>
    <w:rsid w:val="00B746C4"/>
    <w:rsid w:val="00B750BA"/>
    <w:rsid w:val="00B76BB4"/>
    <w:rsid w:val="00B82610"/>
    <w:rsid w:val="00B85486"/>
    <w:rsid w:val="00B90218"/>
    <w:rsid w:val="00B93929"/>
    <w:rsid w:val="00B97734"/>
    <w:rsid w:val="00BA0F0F"/>
    <w:rsid w:val="00BA6339"/>
    <w:rsid w:val="00BB085B"/>
    <w:rsid w:val="00BD36A8"/>
    <w:rsid w:val="00BF04C0"/>
    <w:rsid w:val="00BF05E2"/>
    <w:rsid w:val="00BF4A9B"/>
    <w:rsid w:val="00C00A33"/>
    <w:rsid w:val="00C00FB4"/>
    <w:rsid w:val="00C14CD6"/>
    <w:rsid w:val="00C1550C"/>
    <w:rsid w:val="00C36042"/>
    <w:rsid w:val="00C411CE"/>
    <w:rsid w:val="00C50855"/>
    <w:rsid w:val="00C53C16"/>
    <w:rsid w:val="00C53EDA"/>
    <w:rsid w:val="00C5701C"/>
    <w:rsid w:val="00C9632A"/>
    <w:rsid w:val="00CB20E6"/>
    <w:rsid w:val="00CB333B"/>
    <w:rsid w:val="00CB5C63"/>
    <w:rsid w:val="00CC0CA1"/>
    <w:rsid w:val="00CC7C46"/>
    <w:rsid w:val="00D025F4"/>
    <w:rsid w:val="00D17B70"/>
    <w:rsid w:val="00D2619F"/>
    <w:rsid w:val="00D356B3"/>
    <w:rsid w:val="00D41625"/>
    <w:rsid w:val="00D61CBD"/>
    <w:rsid w:val="00D71F39"/>
    <w:rsid w:val="00D72B77"/>
    <w:rsid w:val="00D81351"/>
    <w:rsid w:val="00D84D5C"/>
    <w:rsid w:val="00D84DFB"/>
    <w:rsid w:val="00D97719"/>
    <w:rsid w:val="00DA141C"/>
    <w:rsid w:val="00DB0190"/>
    <w:rsid w:val="00DF75CE"/>
    <w:rsid w:val="00E037C3"/>
    <w:rsid w:val="00E0472C"/>
    <w:rsid w:val="00E10D92"/>
    <w:rsid w:val="00E121F0"/>
    <w:rsid w:val="00E226B0"/>
    <w:rsid w:val="00E27FE3"/>
    <w:rsid w:val="00E57706"/>
    <w:rsid w:val="00E6341A"/>
    <w:rsid w:val="00E73ED1"/>
    <w:rsid w:val="00E74DDD"/>
    <w:rsid w:val="00E92DC1"/>
    <w:rsid w:val="00E95555"/>
    <w:rsid w:val="00EC26DC"/>
    <w:rsid w:val="00EC6B40"/>
    <w:rsid w:val="00ED5F03"/>
    <w:rsid w:val="00EE5B8B"/>
    <w:rsid w:val="00EE69CA"/>
    <w:rsid w:val="00EF2DE7"/>
    <w:rsid w:val="00F01AC0"/>
    <w:rsid w:val="00F1301C"/>
    <w:rsid w:val="00F164C6"/>
    <w:rsid w:val="00F42863"/>
    <w:rsid w:val="00F44B33"/>
    <w:rsid w:val="00F452BE"/>
    <w:rsid w:val="00F45539"/>
    <w:rsid w:val="00F45A79"/>
    <w:rsid w:val="00F640FF"/>
    <w:rsid w:val="00F84AF2"/>
    <w:rsid w:val="00F87FC0"/>
    <w:rsid w:val="00F9059C"/>
    <w:rsid w:val="00FB35C2"/>
    <w:rsid w:val="00FC388D"/>
    <w:rsid w:val="00FD4CF6"/>
    <w:rsid w:val="00FD725F"/>
    <w:rsid w:val="00FE77EE"/>
    <w:rsid w:val="00FF7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94BEC"/>
  <w15:chartTrackingRefBased/>
  <w15:docId w15:val="{F46AA0C8-B5B7-4928-86D4-A87CEC68F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0F1"/>
  </w:style>
  <w:style w:type="paragraph" w:styleId="Heading1">
    <w:name w:val="heading 1"/>
    <w:basedOn w:val="Normal"/>
    <w:next w:val="Normal"/>
    <w:link w:val="Heading1Char"/>
    <w:uiPriority w:val="9"/>
    <w:qFormat/>
    <w:rsid w:val="00D813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813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8135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8135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8135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813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13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13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13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135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8135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8135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8135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8135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813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13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13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1351"/>
    <w:rPr>
      <w:rFonts w:eastAsiaTheme="majorEastAsia" w:cstheme="majorBidi"/>
      <w:color w:val="272727" w:themeColor="text1" w:themeTint="D8"/>
    </w:rPr>
  </w:style>
  <w:style w:type="paragraph" w:styleId="Title">
    <w:name w:val="Title"/>
    <w:basedOn w:val="Normal"/>
    <w:next w:val="Normal"/>
    <w:link w:val="TitleChar"/>
    <w:uiPriority w:val="10"/>
    <w:qFormat/>
    <w:rsid w:val="00D813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13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13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13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1351"/>
    <w:pPr>
      <w:spacing w:before="160"/>
      <w:jc w:val="center"/>
    </w:pPr>
    <w:rPr>
      <w:i/>
      <w:iCs/>
      <w:color w:val="404040" w:themeColor="text1" w:themeTint="BF"/>
    </w:rPr>
  </w:style>
  <w:style w:type="character" w:customStyle="1" w:styleId="QuoteChar">
    <w:name w:val="Quote Char"/>
    <w:basedOn w:val="DefaultParagraphFont"/>
    <w:link w:val="Quote"/>
    <w:uiPriority w:val="29"/>
    <w:rsid w:val="00D81351"/>
    <w:rPr>
      <w:i/>
      <w:iCs/>
      <w:color w:val="404040" w:themeColor="text1" w:themeTint="BF"/>
    </w:rPr>
  </w:style>
  <w:style w:type="paragraph" w:styleId="ListParagraph">
    <w:name w:val="List Paragraph"/>
    <w:basedOn w:val="Normal"/>
    <w:uiPriority w:val="34"/>
    <w:qFormat/>
    <w:rsid w:val="00D81351"/>
    <w:pPr>
      <w:ind w:left="720"/>
      <w:contextualSpacing/>
    </w:pPr>
  </w:style>
  <w:style w:type="character" w:styleId="IntenseEmphasis">
    <w:name w:val="Intense Emphasis"/>
    <w:basedOn w:val="DefaultParagraphFont"/>
    <w:uiPriority w:val="21"/>
    <w:qFormat/>
    <w:rsid w:val="00D81351"/>
    <w:rPr>
      <w:i/>
      <w:iCs/>
      <w:color w:val="2F5496" w:themeColor="accent1" w:themeShade="BF"/>
    </w:rPr>
  </w:style>
  <w:style w:type="paragraph" w:styleId="IntenseQuote">
    <w:name w:val="Intense Quote"/>
    <w:basedOn w:val="Normal"/>
    <w:next w:val="Normal"/>
    <w:link w:val="IntenseQuoteChar"/>
    <w:uiPriority w:val="30"/>
    <w:qFormat/>
    <w:rsid w:val="00D813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81351"/>
    <w:rPr>
      <w:i/>
      <w:iCs/>
      <w:color w:val="2F5496" w:themeColor="accent1" w:themeShade="BF"/>
    </w:rPr>
  </w:style>
  <w:style w:type="character" w:styleId="IntenseReference">
    <w:name w:val="Intense Reference"/>
    <w:basedOn w:val="DefaultParagraphFont"/>
    <w:uiPriority w:val="32"/>
    <w:qFormat/>
    <w:rsid w:val="00D81351"/>
    <w:rPr>
      <w:b/>
      <w:bCs/>
      <w:smallCaps/>
      <w:color w:val="2F5496" w:themeColor="accent1" w:themeShade="BF"/>
      <w:spacing w:val="5"/>
    </w:rPr>
  </w:style>
  <w:style w:type="paragraph" w:customStyle="1" w:styleId="Default">
    <w:name w:val="Default"/>
    <w:rsid w:val="00040AA9"/>
    <w:pPr>
      <w:autoSpaceDE w:val="0"/>
      <w:autoSpaceDN w:val="0"/>
      <w:adjustRightInd w:val="0"/>
      <w:spacing w:after="0" w:line="240" w:lineRule="auto"/>
    </w:pPr>
    <w:rPr>
      <w:rFonts w:ascii="Times New Roman" w:hAnsi="Times New Roman" w:cs="Times New Roman"/>
      <w:color w:val="000000"/>
      <w:kern w:val="0"/>
    </w:rPr>
  </w:style>
  <w:style w:type="paragraph" w:styleId="NoSpacing">
    <w:name w:val="No Spacing"/>
    <w:uiPriority w:val="1"/>
    <w:qFormat/>
    <w:rsid w:val="002459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23645</TotalTime>
  <Pages>3</Pages>
  <Words>1217</Words>
  <Characters>6942</Characters>
  <Application>Microsoft Office Word</Application>
  <DocSecurity>0</DocSecurity>
  <Lines>57</Lines>
  <Paragraphs>16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Sasho Sarafov</dc:creator>
  <cp:lastModifiedBy>Sasho Sarafov</cp:lastModifiedBy>
  <cp:revision>120</cp:revision>
  <dcterms:created xsi:type="dcterms:W3CDTF">2025-10-20T10:38:00Z</dcterms:created>
  <dcterms:modified xsi:type="dcterms:W3CDTF">2026-08-11T08:47:00Z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59769022-6f67-4121-af31-650746ca0a96</vt:lpwstr>
  </property>
</Properties>
</file>